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2EC" w:rsidRDefault="00D712EC" w:rsidP="00D712EC">
      <w:pPr>
        <w:pStyle w:val="1"/>
        <w:spacing w:before="0" w:after="0" w:line="360" w:lineRule="auto"/>
        <w:rPr>
          <w:rFonts w:ascii="仿宋" w:eastAsia="仿宋" w:hAnsi="仿宋" w:hint="eastAsia"/>
        </w:rPr>
      </w:pPr>
      <w:bookmarkStart w:id="0" w:name="_Toc88664379"/>
      <w:r>
        <w:rPr>
          <w:rFonts w:ascii="仿宋" w:eastAsia="仿宋" w:hAnsi="仿宋" w:hint="eastAsia"/>
        </w:rPr>
        <w:t>服务需求</w:t>
      </w:r>
      <w:bookmarkEnd w:id="0"/>
    </w:p>
    <w:p w:rsidR="00D712EC" w:rsidRDefault="00D712EC" w:rsidP="00D712EC">
      <w:pPr>
        <w:rPr>
          <w:rFonts w:ascii="仿宋" w:eastAsia="仿宋" w:hAnsi="仿宋"/>
          <w:b/>
          <w:sz w:val="24"/>
        </w:rPr>
      </w:pPr>
      <w:r>
        <w:rPr>
          <w:rFonts w:ascii="仿宋" w:eastAsia="仿宋" w:hAnsi="仿宋" w:hint="eastAsia"/>
          <w:b/>
          <w:sz w:val="24"/>
        </w:rPr>
        <w:t>第一节．需求一览表</w:t>
      </w:r>
    </w:p>
    <w:p w:rsidR="00D712EC" w:rsidRDefault="00D712EC" w:rsidP="00D712EC">
      <w:pPr>
        <w:rPr>
          <w:rFonts w:ascii="仿宋" w:eastAsia="仿宋" w:hAnsi="仿宋"/>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840"/>
        <w:gridCol w:w="3124"/>
        <w:gridCol w:w="992"/>
        <w:gridCol w:w="1436"/>
      </w:tblGrid>
      <w:tr w:rsidR="00D712EC" w:rsidTr="008B627C">
        <w:trPr>
          <w:trHeight w:val="532"/>
          <w:jc w:val="center"/>
        </w:trPr>
        <w:tc>
          <w:tcPr>
            <w:tcW w:w="783" w:type="dxa"/>
            <w:vAlign w:val="center"/>
          </w:tcPr>
          <w:p w:rsidR="00D712EC" w:rsidRDefault="00D712EC" w:rsidP="008B627C">
            <w:pPr>
              <w:widowControl/>
              <w:jc w:val="center"/>
              <w:rPr>
                <w:rFonts w:ascii="仿宋" w:eastAsia="仿宋" w:hAnsi="仿宋" w:cs="Arial"/>
                <w:bCs/>
                <w:kern w:val="0"/>
                <w:sz w:val="24"/>
              </w:rPr>
            </w:pPr>
            <w:r>
              <w:rPr>
                <w:rFonts w:ascii="仿宋" w:eastAsia="仿宋" w:hAnsi="仿宋" w:cs="Arial" w:hint="eastAsia"/>
                <w:bCs/>
                <w:kern w:val="0"/>
                <w:sz w:val="24"/>
              </w:rPr>
              <w:t>包号</w:t>
            </w:r>
          </w:p>
        </w:tc>
        <w:tc>
          <w:tcPr>
            <w:tcW w:w="1840" w:type="dxa"/>
            <w:vAlign w:val="center"/>
          </w:tcPr>
          <w:p w:rsidR="00D712EC" w:rsidRDefault="00D712EC" w:rsidP="008B627C">
            <w:pPr>
              <w:widowControl/>
              <w:jc w:val="center"/>
              <w:rPr>
                <w:rFonts w:ascii="仿宋" w:eastAsia="仿宋" w:hAnsi="仿宋" w:cs="Arial"/>
                <w:kern w:val="0"/>
                <w:sz w:val="24"/>
              </w:rPr>
            </w:pPr>
            <w:r>
              <w:rPr>
                <w:rFonts w:ascii="仿宋" w:eastAsia="仿宋" w:hAnsi="仿宋" w:cs="Arial" w:hint="eastAsia"/>
                <w:kern w:val="0"/>
                <w:sz w:val="24"/>
              </w:rPr>
              <w:t>项目名称</w:t>
            </w:r>
          </w:p>
        </w:tc>
        <w:tc>
          <w:tcPr>
            <w:tcW w:w="3124" w:type="dxa"/>
            <w:vAlign w:val="center"/>
          </w:tcPr>
          <w:p w:rsidR="00D712EC" w:rsidRDefault="00D712EC" w:rsidP="008B627C">
            <w:pPr>
              <w:widowControl/>
              <w:jc w:val="center"/>
              <w:rPr>
                <w:rFonts w:ascii="仿宋" w:eastAsia="仿宋" w:hAnsi="仿宋" w:cs="Arial"/>
                <w:kern w:val="0"/>
                <w:sz w:val="24"/>
              </w:rPr>
            </w:pPr>
            <w:r>
              <w:rPr>
                <w:rFonts w:ascii="仿宋" w:eastAsia="仿宋" w:hAnsi="仿宋" w:cs="Arial" w:hint="eastAsia"/>
                <w:kern w:val="0"/>
                <w:sz w:val="24"/>
              </w:rPr>
              <w:t>服务内容</w:t>
            </w:r>
          </w:p>
        </w:tc>
        <w:tc>
          <w:tcPr>
            <w:tcW w:w="992" w:type="dxa"/>
            <w:vAlign w:val="center"/>
          </w:tcPr>
          <w:p w:rsidR="00D712EC" w:rsidRDefault="00D712EC" w:rsidP="008B627C">
            <w:pPr>
              <w:widowControl/>
              <w:rPr>
                <w:rFonts w:ascii="仿宋" w:eastAsia="仿宋" w:hAnsi="仿宋" w:cs="Arial"/>
                <w:kern w:val="0"/>
                <w:sz w:val="24"/>
              </w:rPr>
            </w:pPr>
            <w:r>
              <w:rPr>
                <w:rFonts w:ascii="仿宋" w:eastAsia="仿宋" w:hAnsi="仿宋" w:cs="Arial" w:hint="eastAsia"/>
                <w:kern w:val="0"/>
                <w:sz w:val="24"/>
              </w:rPr>
              <w:t>服务期</w:t>
            </w:r>
          </w:p>
        </w:tc>
        <w:tc>
          <w:tcPr>
            <w:tcW w:w="1436" w:type="dxa"/>
            <w:vAlign w:val="center"/>
          </w:tcPr>
          <w:p w:rsidR="00D712EC" w:rsidRDefault="00D712EC" w:rsidP="008B627C">
            <w:pPr>
              <w:widowControl/>
              <w:jc w:val="center"/>
              <w:rPr>
                <w:rFonts w:ascii="仿宋" w:eastAsia="仿宋" w:hAnsi="仿宋" w:cs="Arial"/>
                <w:kern w:val="0"/>
                <w:sz w:val="24"/>
              </w:rPr>
            </w:pPr>
            <w:r>
              <w:rPr>
                <w:rFonts w:ascii="仿宋" w:eastAsia="仿宋" w:hAnsi="仿宋" w:cs="Arial" w:hint="eastAsia"/>
                <w:kern w:val="0"/>
                <w:sz w:val="24"/>
              </w:rPr>
              <w:t>项目预算</w:t>
            </w:r>
          </w:p>
        </w:tc>
      </w:tr>
      <w:tr w:rsidR="00D712EC" w:rsidTr="008B627C">
        <w:trPr>
          <w:jc w:val="center"/>
        </w:trPr>
        <w:tc>
          <w:tcPr>
            <w:tcW w:w="783" w:type="dxa"/>
            <w:vAlign w:val="center"/>
          </w:tcPr>
          <w:p w:rsidR="00D712EC" w:rsidRDefault="00D712EC" w:rsidP="008B627C">
            <w:pPr>
              <w:widowControl/>
              <w:jc w:val="center"/>
              <w:rPr>
                <w:rFonts w:ascii="仿宋" w:eastAsia="仿宋" w:hAnsi="仿宋" w:cs="Arial"/>
                <w:bCs/>
                <w:kern w:val="0"/>
                <w:sz w:val="24"/>
              </w:rPr>
            </w:pPr>
            <w:r>
              <w:rPr>
                <w:rFonts w:ascii="仿宋" w:eastAsia="仿宋" w:hAnsi="仿宋" w:cs="Arial" w:hint="eastAsia"/>
                <w:bCs/>
                <w:kern w:val="0"/>
                <w:sz w:val="24"/>
              </w:rPr>
              <w:t>0</w:t>
            </w:r>
            <w:r>
              <w:rPr>
                <w:rFonts w:ascii="仿宋" w:eastAsia="仿宋" w:hAnsi="仿宋" w:cs="Arial"/>
                <w:bCs/>
                <w:kern w:val="0"/>
                <w:sz w:val="24"/>
              </w:rPr>
              <w:t>1</w:t>
            </w:r>
          </w:p>
        </w:tc>
        <w:tc>
          <w:tcPr>
            <w:tcW w:w="1840" w:type="dxa"/>
            <w:vAlign w:val="center"/>
          </w:tcPr>
          <w:p w:rsidR="00D712EC" w:rsidRDefault="00D712EC" w:rsidP="008B627C">
            <w:pPr>
              <w:widowControl/>
              <w:rPr>
                <w:rFonts w:ascii="仿宋" w:eastAsia="仿宋" w:hAnsi="仿宋" w:cs="Arial"/>
                <w:kern w:val="0"/>
                <w:sz w:val="24"/>
              </w:rPr>
            </w:pPr>
            <w:r>
              <w:rPr>
                <w:rFonts w:ascii="仿宋" w:eastAsia="仿宋" w:hAnsi="仿宋" w:cs="Arial" w:hint="eastAsia"/>
                <w:kern w:val="0"/>
                <w:sz w:val="24"/>
              </w:rPr>
              <w:t>孕妇外周血胎儿游离DNA 3种常染色体显性单基因病筛查检测采购项目</w:t>
            </w:r>
          </w:p>
        </w:tc>
        <w:tc>
          <w:tcPr>
            <w:tcW w:w="3124" w:type="dxa"/>
            <w:vAlign w:val="center"/>
          </w:tcPr>
          <w:p w:rsidR="00D712EC" w:rsidRDefault="00D712EC" w:rsidP="008B627C">
            <w:pPr>
              <w:pStyle w:val="a3"/>
              <w:rPr>
                <w:rFonts w:ascii="仿宋" w:eastAsia="仿宋" w:hAnsi="仿宋"/>
                <w:sz w:val="24"/>
              </w:rPr>
            </w:pPr>
            <w:r>
              <w:rPr>
                <w:rFonts w:ascii="仿宋" w:eastAsia="仿宋" w:hAnsi="仿宋" w:hint="eastAsia"/>
                <w:sz w:val="24"/>
              </w:rPr>
              <w:t>拟选择1家医学检验实验室合作，提供孕妇外周血胎儿游离DNA 3种常染色体显性单基因病筛查检测服务。</w:t>
            </w:r>
          </w:p>
        </w:tc>
        <w:tc>
          <w:tcPr>
            <w:tcW w:w="992" w:type="dxa"/>
            <w:vAlign w:val="center"/>
          </w:tcPr>
          <w:p w:rsidR="00D712EC" w:rsidRDefault="00D712EC" w:rsidP="008B627C">
            <w:pPr>
              <w:widowControl/>
              <w:jc w:val="center"/>
              <w:rPr>
                <w:rFonts w:ascii="仿宋" w:eastAsia="仿宋" w:hAnsi="仿宋" w:cs="Arial"/>
                <w:kern w:val="0"/>
                <w:sz w:val="24"/>
              </w:rPr>
            </w:pPr>
            <w:r>
              <w:rPr>
                <w:rFonts w:ascii="仿宋" w:eastAsia="仿宋" w:hAnsi="仿宋" w:cs="Arial" w:hint="eastAsia"/>
                <w:kern w:val="0"/>
                <w:sz w:val="24"/>
              </w:rPr>
              <w:t xml:space="preserve"> 2 年</w:t>
            </w:r>
          </w:p>
        </w:tc>
        <w:tc>
          <w:tcPr>
            <w:tcW w:w="1436" w:type="dxa"/>
            <w:vAlign w:val="center"/>
          </w:tcPr>
          <w:p w:rsidR="00D712EC" w:rsidRDefault="00D712EC" w:rsidP="008B627C">
            <w:pPr>
              <w:widowControl/>
              <w:jc w:val="center"/>
              <w:rPr>
                <w:rFonts w:ascii="仿宋" w:eastAsia="仿宋" w:hAnsi="仿宋" w:cs="Arial"/>
                <w:kern w:val="0"/>
                <w:sz w:val="24"/>
              </w:rPr>
            </w:pPr>
            <w:r>
              <w:rPr>
                <w:rFonts w:ascii="仿宋" w:eastAsia="仿宋" w:hAnsi="仿宋" w:cs="Arial" w:hint="eastAsia"/>
                <w:kern w:val="0"/>
                <w:sz w:val="24"/>
              </w:rPr>
              <w:t>99万元/年</w:t>
            </w:r>
          </w:p>
        </w:tc>
      </w:tr>
      <w:tr w:rsidR="00D712EC" w:rsidTr="008B627C">
        <w:trPr>
          <w:jc w:val="center"/>
        </w:trPr>
        <w:tc>
          <w:tcPr>
            <w:tcW w:w="8175" w:type="dxa"/>
            <w:gridSpan w:val="5"/>
            <w:vAlign w:val="center"/>
          </w:tcPr>
          <w:p w:rsidR="00D712EC" w:rsidRDefault="00D712EC" w:rsidP="008B627C">
            <w:pPr>
              <w:spacing w:line="360" w:lineRule="auto"/>
              <w:rPr>
                <w:rFonts w:ascii="仿宋" w:eastAsia="仿宋" w:hAnsi="仿宋" w:cs="宋体"/>
                <w:kern w:val="1"/>
                <w:sz w:val="24"/>
              </w:rPr>
            </w:pPr>
            <w:r>
              <w:rPr>
                <w:rFonts w:ascii="仿宋" w:eastAsia="仿宋" w:hAnsi="仿宋" w:cs="宋体" w:hint="eastAsia"/>
                <w:kern w:val="1"/>
                <w:sz w:val="24"/>
              </w:rPr>
              <w:t>注：</w:t>
            </w:r>
          </w:p>
          <w:p w:rsidR="00D712EC" w:rsidRDefault="00D712EC" w:rsidP="008B627C">
            <w:pPr>
              <w:spacing w:line="360" w:lineRule="auto"/>
              <w:rPr>
                <w:rFonts w:ascii="仿宋" w:eastAsia="仿宋" w:hAnsi="仿宋" w:cs="Arial"/>
                <w:kern w:val="0"/>
                <w:sz w:val="24"/>
              </w:rPr>
            </w:pPr>
            <w:r>
              <w:rPr>
                <w:rFonts w:ascii="仿宋" w:eastAsia="仿宋" w:hAnsi="仿宋" w:cs="宋体" w:hint="eastAsia"/>
                <w:kern w:val="1"/>
                <w:sz w:val="24"/>
              </w:rPr>
              <w:t>1</w:t>
            </w:r>
            <w:r>
              <w:rPr>
                <w:rFonts w:ascii="仿宋" w:eastAsia="仿宋" w:hAnsi="仿宋" w:cs="宋体"/>
                <w:kern w:val="1"/>
                <w:sz w:val="24"/>
              </w:rPr>
              <w:t>.</w:t>
            </w:r>
            <w:bookmarkStart w:id="1" w:name="_Hlk100846169"/>
            <w:r>
              <w:rPr>
                <w:rFonts w:ascii="仿宋" w:eastAsia="仿宋" w:hAnsi="仿宋" w:cs="宋体" w:hint="eastAsia"/>
                <w:kern w:val="1"/>
                <w:sz w:val="24"/>
              </w:rPr>
              <w:t>本项目最高限价为单价形式，其中标本检测服务费</w:t>
            </w:r>
            <w:r>
              <w:rPr>
                <w:rFonts w:ascii="仿宋" w:eastAsia="仿宋" w:hAnsi="仿宋" w:cs="Arial" w:hint="eastAsia"/>
                <w:kern w:val="0"/>
                <w:sz w:val="24"/>
              </w:rPr>
              <w:t>：不得超过</w:t>
            </w:r>
            <w:r>
              <w:rPr>
                <w:rFonts w:ascii="仿宋" w:eastAsia="仿宋" w:hAnsi="仿宋" w:cs="Arial" w:hint="eastAsia"/>
                <w:kern w:val="0"/>
                <w:sz w:val="24"/>
                <w:u w:val="single"/>
              </w:rPr>
              <w:t xml:space="preserve">  950  </w:t>
            </w:r>
            <w:r>
              <w:rPr>
                <w:rFonts w:ascii="仿宋" w:eastAsia="仿宋" w:hAnsi="仿宋" w:cs="宋体" w:hint="eastAsia"/>
                <w:kern w:val="1"/>
                <w:sz w:val="24"/>
              </w:rPr>
              <w:t>元/例，否则将被视为无效</w:t>
            </w:r>
            <w:bookmarkEnd w:id="1"/>
            <w:r>
              <w:rPr>
                <w:rFonts w:ascii="仿宋" w:eastAsia="仿宋" w:hAnsi="仿宋" w:cs="宋体" w:hint="eastAsia"/>
                <w:kern w:val="1"/>
                <w:sz w:val="24"/>
              </w:rPr>
              <w:t>响应</w:t>
            </w:r>
            <w:r>
              <w:rPr>
                <w:rFonts w:ascii="仿宋" w:eastAsia="仿宋" w:hAnsi="仿宋" w:cs="Arial" w:hint="eastAsia"/>
                <w:kern w:val="0"/>
                <w:sz w:val="24"/>
              </w:rPr>
              <w:t>。</w:t>
            </w:r>
          </w:p>
          <w:p w:rsidR="00D712EC" w:rsidRDefault="00D712EC" w:rsidP="008B627C">
            <w:pPr>
              <w:spacing w:line="360" w:lineRule="auto"/>
              <w:rPr>
                <w:rFonts w:ascii="仿宋" w:eastAsia="仿宋" w:hAnsi="仿宋" w:cs="Arial"/>
                <w:kern w:val="0"/>
                <w:sz w:val="24"/>
              </w:rPr>
            </w:pPr>
            <w:r>
              <w:rPr>
                <w:rFonts w:ascii="仿宋" w:eastAsia="仿宋" w:hAnsi="仿宋" w:cs="Arial"/>
                <w:kern w:val="0"/>
                <w:sz w:val="24"/>
              </w:rPr>
              <w:t>2.</w:t>
            </w:r>
            <w:r>
              <w:rPr>
                <w:rFonts w:ascii="仿宋" w:eastAsia="仿宋" w:hAnsi="仿宋" w:cs="Arial" w:hint="eastAsia"/>
                <w:kern w:val="0"/>
                <w:sz w:val="24"/>
              </w:rPr>
              <w:t>本项目预算为年预算，99万元/年，服务期2年，按实际发生检测费结算，但不得超过各年度的预算金额。</w:t>
            </w:r>
          </w:p>
          <w:p w:rsidR="00D712EC" w:rsidRDefault="00D712EC" w:rsidP="008B627C">
            <w:pPr>
              <w:spacing w:line="360" w:lineRule="auto"/>
              <w:rPr>
                <w:rFonts w:ascii="仿宋" w:eastAsia="仿宋" w:hAnsi="仿宋" w:cs="Arial"/>
                <w:kern w:val="0"/>
                <w:sz w:val="24"/>
              </w:rPr>
            </w:pPr>
            <w:r>
              <w:rPr>
                <w:rFonts w:ascii="仿宋" w:eastAsia="仿宋" w:hAnsi="仿宋" w:cs="Arial" w:hint="eastAsia"/>
                <w:kern w:val="0"/>
                <w:sz w:val="24"/>
              </w:rPr>
              <w:t>3</w:t>
            </w:r>
            <w:r>
              <w:rPr>
                <w:rFonts w:ascii="仿宋" w:eastAsia="仿宋" w:hAnsi="仿宋" w:cs="Arial"/>
                <w:kern w:val="0"/>
                <w:sz w:val="24"/>
              </w:rPr>
              <w:t>.</w:t>
            </w:r>
            <w:r>
              <w:rPr>
                <w:rFonts w:ascii="仿宋" w:eastAsia="仿宋" w:hAnsi="仿宋" w:hint="eastAsia"/>
                <w:sz w:val="24"/>
              </w:rPr>
              <w:t xml:space="preserve"> </w:t>
            </w:r>
            <w:r>
              <w:rPr>
                <w:rFonts w:ascii="仿宋" w:eastAsia="仿宋" w:hAnsi="仿宋" w:cs="Arial" w:hint="eastAsia"/>
                <w:kern w:val="0"/>
                <w:sz w:val="24"/>
              </w:rPr>
              <w:t>本项目合同每年签订一次，在不改变合同其它条款的情况下可以续签，续签次数不得超过一次，在签订第二年合同前，采购人将对成交人在上一年度服务满前两个月内进行服务期内总体考核，考核合格续签合同，否则不再续签合同。</w:t>
            </w:r>
          </w:p>
          <w:p w:rsidR="00D712EC" w:rsidRDefault="00D712EC" w:rsidP="008B627C">
            <w:pPr>
              <w:spacing w:line="360" w:lineRule="auto"/>
              <w:rPr>
                <w:rFonts w:ascii="仿宋" w:eastAsia="仿宋" w:hAnsi="仿宋" w:cs="Arial"/>
                <w:kern w:val="0"/>
                <w:sz w:val="24"/>
              </w:rPr>
            </w:pPr>
            <w:r>
              <w:rPr>
                <w:rFonts w:ascii="仿宋" w:eastAsia="仿宋" w:hAnsi="仿宋" w:cs="Arial" w:hint="eastAsia"/>
                <w:kern w:val="0"/>
                <w:sz w:val="24"/>
              </w:rPr>
              <w:t>4</w:t>
            </w:r>
            <w:r>
              <w:rPr>
                <w:rFonts w:ascii="仿宋" w:eastAsia="仿宋" w:hAnsi="仿宋" w:cs="Arial"/>
                <w:kern w:val="0"/>
                <w:sz w:val="24"/>
              </w:rPr>
              <w:t>.</w:t>
            </w:r>
            <w:r>
              <w:rPr>
                <w:rFonts w:ascii="仿宋" w:eastAsia="仿宋" w:hAnsi="仿宋" w:cs="Arial" w:hint="eastAsia"/>
                <w:kern w:val="0"/>
                <w:sz w:val="24"/>
              </w:rPr>
              <w:t>交付地点：北京大学第三医院门诊楼四层产科门诊。</w:t>
            </w:r>
          </w:p>
        </w:tc>
      </w:tr>
    </w:tbl>
    <w:p w:rsidR="00D712EC" w:rsidRDefault="00D712EC" w:rsidP="00D712EC">
      <w:pPr>
        <w:jc w:val="left"/>
        <w:rPr>
          <w:rFonts w:ascii="仿宋" w:eastAsia="仿宋" w:hAnsi="仿宋"/>
        </w:rPr>
      </w:pPr>
    </w:p>
    <w:p w:rsidR="00D712EC" w:rsidRDefault="00D712EC" w:rsidP="00D712EC">
      <w:pPr>
        <w:spacing w:line="360" w:lineRule="auto"/>
        <w:rPr>
          <w:rFonts w:ascii="仿宋" w:eastAsia="仿宋" w:hAnsi="仿宋"/>
          <w:b/>
          <w:sz w:val="24"/>
        </w:rPr>
      </w:pPr>
      <w:r>
        <w:rPr>
          <w:rFonts w:ascii="仿宋" w:eastAsia="仿宋" w:hAnsi="仿宋" w:hint="eastAsia"/>
          <w:b/>
          <w:sz w:val="24"/>
        </w:rPr>
        <w:t>第二节．具体服务需求</w:t>
      </w:r>
    </w:p>
    <w:p w:rsidR="00D712EC" w:rsidRDefault="00D712EC" w:rsidP="00D712EC">
      <w:pPr>
        <w:tabs>
          <w:tab w:val="left" w:pos="900"/>
        </w:tabs>
        <w:spacing w:beforeLines="50" w:before="156" w:line="360" w:lineRule="auto"/>
        <w:ind w:firstLineChars="200" w:firstLine="489"/>
        <w:rPr>
          <w:rFonts w:ascii="仿宋" w:eastAsia="仿宋" w:hAnsi="仿宋" w:cs="Times New Roman Regular"/>
          <w:b/>
          <w:sz w:val="24"/>
        </w:rPr>
      </w:pPr>
      <w:r>
        <w:rPr>
          <w:rFonts w:ascii="仿宋" w:eastAsia="仿宋" w:hAnsi="仿宋" w:cs="Times New Roman Regular"/>
          <w:b/>
          <w:sz w:val="24"/>
        </w:rPr>
        <w:t>（一）</w:t>
      </w:r>
      <w:r>
        <w:rPr>
          <w:rFonts w:ascii="仿宋" w:eastAsia="仿宋" w:hAnsi="仿宋" w:cs="Times New Roman Regular" w:hint="eastAsia"/>
          <w:b/>
          <w:sz w:val="24"/>
        </w:rPr>
        <w:t>项目</w:t>
      </w:r>
      <w:r>
        <w:rPr>
          <w:rFonts w:ascii="仿宋" w:eastAsia="仿宋" w:hAnsi="仿宋" w:cs="Times New Roman Regular"/>
          <w:b/>
          <w:sz w:val="24"/>
        </w:rPr>
        <w:t>总体要求：</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1</w:t>
      </w:r>
      <w:r>
        <w:rPr>
          <w:rFonts w:ascii="仿宋" w:eastAsia="仿宋" w:hAnsi="仿宋" w:cs="Times New Roman Regular"/>
          <w:sz w:val="24"/>
          <w:lang w:eastAsia="zh-Hans"/>
        </w:rPr>
        <w:t>、</w:t>
      </w:r>
      <w:r>
        <w:rPr>
          <w:rFonts w:ascii="仿宋" w:eastAsia="仿宋" w:hAnsi="仿宋" w:cs="Times New Roman Regular"/>
          <w:sz w:val="24"/>
        </w:rPr>
        <w:t>确保</w:t>
      </w:r>
      <w:r>
        <w:rPr>
          <w:rFonts w:ascii="仿宋" w:eastAsia="仿宋" w:hAnsi="仿宋" w:cs="Times New Roman Regular" w:hint="eastAsia"/>
          <w:sz w:val="24"/>
        </w:rPr>
        <w:t>采购人孕妇外周血胎儿游离DNA 3种常染色体显性单基因病筛查检测</w:t>
      </w:r>
      <w:r>
        <w:rPr>
          <w:rFonts w:ascii="仿宋" w:eastAsia="仿宋" w:hAnsi="仿宋" w:cs="Times New Roman Regular"/>
          <w:sz w:val="24"/>
        </w:rPr>
        <w:t>项目的准确性</w:t>
      </w:r>
      <w:r>
        <w:rPr>
          <w:rFonts w:ascii="仿宋" w:eastAsia="仿宋" w:hAnsi="仿宋" w:cs="Times New Roman Regular" w:hint="eastAsia"/>
          <w:sz w:val="24"/>
        </w:rPr>
        <w:t>、</w:t>
      </w:r>
      <w:r>
        <w:rPr>
          <w:rFonts w:ascii="仿宋" w:eastAsia="仿宋" w:hAnsi="仿宋" w:cs="Times New Roman Regular"/>
          <w:sz w:val="24"/>
        </w:rPr>
        <w:t>安全性</w:t>
      </w:r>
      <w:r>
        <w:rPr>
          <w:rFonts w:ascii="仿宋" w:eastAsia="仿宋" w:hAnsi="仿宋" w:cs="Times New Roman Regular" w:hint="eastAsia"/>
          <w:sz w:val="24"/>
        </w:rPr>
        <w:t>以及时效性</w:t>
      </w:r>
      <w:r>
        <w:rPr>
          <w:rFonts w:ascii="仿宋" w:eastAsia="仿宋" w:hAnsi="仿宋" w:cs="Times New Roman Regular"/>
          <w:sz w:val="24"/>
        </w:rPr>
        <w:t>。</w:t>
      </w:r>
    </w:p>
    <w:p w:rsidR="00D712EC" w:rsidRDefault="00D712EC" w:rsidP="00D712EC">
      <w:pPr>
        <w:widowControl/>
        <w:spacing w:line="360" w:lineRule="auto"/>
        <w:ind w:firstLineChars="200" w:firstLine="480"/>
        <w:jc w:val="left"/>
        <w:rPr>
          <w:rFonts w:ascii="仿宋" w:eastAsia="仿宋" w:hAnsi="仿宋" w:cs="宋体"/>
          <w:b/>
          <w:bCs/>
          <w:color w:val="000000"/>
          <w:kern w:val="0"/>
          <w:sz w:val="24"/>
          <w:lang w:bidi="ar"/>
        </w:rPr>
      </w:pPr>
      <w:r>
        <w:rPr>
          <w:rFonts w:ascii="仿宋" w:eastAsia="仿宋" w:hAnsi="仿宋" w:cs="Times New Roman Regular" w:hint="eastAsia"/>
          <w:sz w:val="24"/>
        </w:rPr>
        <w:t>2、</w:t>
      </w:r>
      <w:r>
        <w:rPr>
          <w:rFonts w:ascii="仿宋" w:eastAsia="仿宋" w:hAnsi="仿宋" w:cs="宋体" w:hint="eastAsia"/>
          <w:color w:val="000000"/>
          <w:kern w:val="0"/>
          <w:sz w:val="24"/>
          <w:lang w:bidi="ar"/>
        </w:rPr>
        <w:t>需执行的国家相关标准、行业标准、地方标准或者其他标准、规范文件：</w:t>
      </w:r>
      <w:r>
        <w:rPr>
          <w:rFonts w:ascii="仿宋" w:eastAsia="仿宋" w:hAnsi="仿宋" w:cs="宋体" w:hint="eastAsia"/>
          <w:b/>
          <w:bCs/>
          <w:color w:val="000000"/>
          <w:kern w:val="0"/>
          <w:sz w:val="24"/>
          <w:lang w:bidi="ar"/>
        </w:rPr>
        <w:t xml:space="preserve"> </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《医疗机构临床实验室管理办法》卫医发〔2006〕第73号</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 xml:space="preserve">《医疗机构临床基因扩增检验实验室管理办法》卫办医政发〔2010〕194号 </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《医学检验实验室管理暂行办法》</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《医疗器械监督管理条例》</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lastRenderedPageBreak/>
        <w:t>《医疗器械注册管理办法》</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《中共中央国务院关于优化生育政策促进人口长期均衡发展的决定》</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《中国妇女发展纲要（2021-2030年）》</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《中国儿童发展纲要（2021-2030年）》</w:t>
      </w:r>
    </w:p>
    <w:p w:rsidR="00D712EC" w:rsidRDefault="00D712EC" w:rsidP="00D712EC">
      <w:pPr>
        <w:widowControl/>
        <w:spacing w:line="360" w:lineRule="auto"/>
        <w:ind w:firstLineChars="200" w:firstLine="480"/>
        <w:jc w:val="left"/>
        <w:rPr>
          <w:rFonts w:ascii="仿宋" w:eastAsia="仿宋" w:hAnsi="仿宋"/>
          <w:sz w:val="24"/>
        </w:rPr>
      </w:pPr>
      <w:r>
        <w:rPr>
          <w:rFonts w:ascii="仿宋" w:eastAsia="仿宋" w:hAnsi="仿宋" w:hint="eastAsia"/>
          <w:sz w:val="24"/>
        </w:rPr>
        <w:t>《出生缺陷防治能力提升计划（2023-2027年）》</w:t>
      </w:r>
    </w:p>
    <w:p w:rsidR="00D712EC" w:rsidRDefault="00D712EC" w:rsidP="00D712EC">
      <w:pPr>
        <w:numPr>
          <w:ilvl w:val="0"/>
          <w:numId w:val="1"/>
        </w:numPr>
        <w:tabs>
          <w:tab w:val="left" w:pos="0"/>
        </w:tabs>
        <w:adjustRightInd w:val="0"/>
        <w:spacing w:line="360" w:lineRule="auto"/>
        <w:ind w:firstLineChars="200" w:firstLine="480"/>
        <w:textAlignment w:val="baseline"/>
        <w:rPr>
          <w:rFonts w:ascii="仿宋" w:eastAsia="仿宋" w:hAnsi="仿宋" w:cs="微软雅黑"/>
          <w:color w:val="202020"/>
          <w:sz w:val="24"/>
        </w:rPr>
      </w:pPr>
      <w:r>
        <w:rPr>
          <w:rFonts w:ascii="仿宋" w:eastAsia="仿宋" w:hAnsi="仿宋" w:cs="Times New Roman Regular" w:hint="eastAsia"/>
          <w:sz w:val="24"/>
        </w:rPr>
        <w:t>要求供应商</w:t>
      </w:r>
      <w:r>
        <w:rPr>
          <w:rFonts w:ascii="仿宋" w:eastAsia="仿宋" w:hAnsi="仿宋" w:cs="Times New Roman Regular"/>
          <w:sz w:val="24"/>
        </w:rPr>
        <w:t>符合相关资质要求</w:t>
      </w:r>
      <w:r>
        <w:rPr>
          <w:rFonts w:ascii="仿宋" w:eastAsia="仿宋" w:hAnsi="仿宋" w:cs="Times New Roman Regular" w:hint="eastAsia"/>
          <w:sz w:val="24"/>
        </w:rPr>
        <w:t>：</w:t>
      </w:r>
      <w:r>
        <w:rPr>
          <w:rFonts w:ascii="仿宋" w:eastAsia="仿宋" w:hAnsi="仿宋" w:cs="微软雅黑"/>
          <w:color w:val="202020"/>
          <w:sz w:val="24"/>
        </w:rPr>
        <w:t>医学检验实验室应当具备法定的机构、人员资质及符合要求的设备、试剂</w:t>
      </w:r>
      <w:r>
        <w:rPr>
          <w:rFonts w:ascii="仿宋" w:eastAsia="仿宋" w:hAnsi="仿宋" w:cs="微软雅黑" w:hint="eastAsia"/>
          <w:color w:val="202020"/>
          <w:sz w:val="24"/>
        </w:rPr>
        <w:t>。</w:t>
      </w:r>
      <w:r>
        <w:rPr>
          <w:rFonts w:ascii="仿宋" w:eastAsia="仿宋" w:hAnsi="仿宋" w:cs="微软雅黑"/>
          <w:color w:val="202020"/>
          <w:sz w:val="24"/>
        </w:rPr>
        <w:t>医学检验实验室向产前诊断机构提供检测结果和技术支持，要严格室内质量控制，接受省级以上卫生行政部门组织开展的室间质量评价和监督检查。加强信息安全管理，严格保护孕妇隐私</w:t>
      </w:r>
      <w:r>
        <w:rPr>
          <w:rFonts w:ascii="仿宋" w:eastAsia="仿宋" w:hAnsi="仿宋" w:cs="微软雅黑" w:hint="eastAsia"/>
          <w:color w:val="202020"/>
          <w:sz w:val="24"/>
        </w:rPr>
        <w:t>，并对</w:t>
      </w:r>
      <w:r>
        <w:rPr>
          <w:rFonts w:ascii="仿宋" w:eastAsia="仿宋" w:hAnsi="仿宋" w:cs="黑体" w:hint="eastAsia"/>
          <w:color w:val="202020"/>
          <w:sz w:val="24"/>
        </w:rPr>
        <w:t>检测结果的客观性、真实性负责</w:t>
      </w:r>
      <w:r>
        <w:rPr>
          <w:rFonts w:ascii="仿宋" w:eastAsia="仿宋" w:hAnsi="仿宋" w:cs="微软雅黑" w:hint="eastAsia"/>
          <w:color w:val="202020"/>
          <w:sz w:val="24"/>
        </w:rPr>
        <w:t>。</w:t>
      </w:r>
    </w:p>
    <w:p w:rsidR="00D712EC" w:rsidRDefault="00D712EC" w:rsidP="00D712EC">
      <w:pPr>
        <w:tabs>
          <w:tab w:val="left" w:pos="0"/>
        </w:tabs>
        <w:adjustRightInd w:val="0"/>
        <w:spacing w:line="360" w:lineRule="auto"/>
        <w:ind w:firstLineChars="200" w:firstLine="480"/>
        <w:textAlignment w:val="baseline"/>
        <w:rPr>
          <w:rFonts w:ascii="仿宋" w:eastAsia="仿宋" w:hAnsi="仿宋" w:cs="微软雅黑"/>
          <w:color w:val="202020"/>
          <w:sz w:val="24"/>
        </w:rPr>
      </w:pPr>
    </w:p>
    <w:p w:rsidR="00D712EC" w:rsidRDefault="00D712EC" w:rsidP="00D712EC">
      <w:pPr>
        <w:tabs>
          <w:tab w:val="left" w:pos="900"/>
        </w:tabs>
        <w:spacing w:beforeLines="50" w:before="156" w:line="360" w:lineRule="auto"/>
        <w:ind w:firstLineChars="200" w:firstLine="489"/>
        <w:rPr>
          <w:rFonts w:ascii="仿宋" w:eastAsia="仿宋" w:hAnsi="仿宋" w:cs="Times New Roman Regular"/>
          <w:b/>
          <w:sz w:val="24"/>
        </w:rPr>
      </w:pPr>
      <w:r>
        <w:rPr>
          <w:rFonts w:ascii="仿宋" w:eastAsia="仿宋" w:hAnsi="仿宋" w:cs="Times New Roman Regular"/>
          <w:b/>
          <w:sz w:val="24"/>
        </w:rPr>
        <w:t>（二）</w:t>
      </w:r>
      <w:r>
        <w:rPr>
          <w:rFonts w:ascii="仿宋" w:eastAsia="仿宋" w:hAnsi="仿宋" w:cs="Times New Roman Regular" w:hint="eastAsia"/>
          <w:b/>
          <w:sz w:val="24"/>
        </w:rPr>
        <w:t>项目检测</w:t>
      </w:r>
      <w:r>
        <w:rPr>
          <w:rFonts w:ascii="仿宋" w:eastAsia="仿宋" w:hAnsi="仿宋" w:cs="Times New Roman Regular"/>
          <w:b/>
          <w:sz w:val="24"/>
        </w:rPr>
        <w:t>服务要求</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1</w:t>
      </w:r>
      <w:r>
        <w:rPr>
          <w:rFonts w:ascii="仿宋" w:eastAsia="仿宋" w:hAnsi="仿宋" w:cs="Times New Roman Regular"/>
          <w:sz w:val="24"/>
          <w:lang w:eastAsia="zh-Hans"/>
        </w:rPr>
        <w:t>、</w:t>
      </w:r>
      <w:r>
        <w:rPr>
          <w:rFonts w:ascii="仿宋" w:eastAsia="仿宋" w:hAnsi="仿宋" w:cs="Times New Roman Regular"/>
          <w:sz w:val="24"/>
        </w:rPr>
        <w:t>检测内容：以高通量测序</w:t>
      </w:r>
      <w:r>
        <w:rPr>
          <w:rFonts w:ascii="仿宋" w:eastAsia="仿宋" w:hAnsi="仿宋" w:cs="Times New Roman Regular" w:hint="eastAsia"/>
          <w:sz w:val="24"/>
        </w:rPr>
        <w:t>技术</w:t>
      </w:r>
      <w:r>
        <w:rPr>
          <w:rFonts w:ascii="仿宋" w:eastAsia="仿宋" w:hAnsi="仿宋" w:cs="Times New Roman Regular"/>
          <w:sz w:val="24"/>
        </w:rPr>
        <w:t>检测孕妇外周血胎儿游离DNA，</w:t>
      </w:r>
      <w:r>
        <w:rPr>
          <w:rFonts w:ascii="仿宋" w:eastAsia="仿宋" w:hAnsi="仿宋" w:cs="Times New Roman Regular" w:hint="eastAsia"/>
          <w:sz w:val="24"/>
        </w:rPr>
        <w:t>对三种常染色体显性单基因病的发病风险进行评估，检测病种、基因及基因位点包括：软骨发育不全（FGFR3 c.1138G&gt;A/C）、致死性骨发育不良（FGFR3 c.1949A&gt;T）和Jackson-Weiss综合征（FGFR2 c.866A&gt;C和c.1031C&gt;G）。</w:t>
      </w:r>
    </w:p>
    <w:p w:rsidR="00D712EC" w:rsidRDefault="00D712EC" w:rsidP="00D712EC">
      <w:pPr>
        <w:widowControl/>
        <w:adjustRightInd w:val="0"/>
        <w:snapToGrid w:val="0"/>
        <w:spacing w:line="360" w:lineRule="auto"/>
        <w:ind w:firstLineChars="200" w:firstLine="480"/>
        <w:jc w:val="left"/>
        <w:outlineLvl w:val="0"/>
        <w:rPr>
          <w:rFonts w:ascii="仿宋" w:eastAsia="仿宋" w:hAnsi="仿宋" w:cs="Times New Roman Regular"/>
          <w:sz w:val="24"/>
        </w:rPr>
      </w:pPr>
      <w:r>
        <w:rPr>
          <w:rFonts w:ascii="仿宋" w:eastAsia="仿宋" w:hAnsi="仿宋" w:cs="Times New Roman Regular"/>
          <w:sz w:val="24"/>
        </w:rPr>
        <w:t>2</w:t>
      </w:r>
      <w:r>
        <w:rPr>
          <w:rFonts w:ascii="仿宋" w:eastAsia="仿宋" w:hAnsi="仿宋" w:cs="Times New Roman Regular"/>
          <w:sz w:val="24"/>
          <w:lang w:eastAsia="zh-Hans"/>
        </w:rPr>
        <w:t>、</w:t>
      </w:r>
      <w:r>
        <w:rPr>
          <w:rFonts w:ascii="仿宋" w:eastAsia="仿宋" w:hAnsi="仿宋" w:cs="Times New Roman Regular"/>
          <w:sz w:val="24"/>
        </w:rPr>
        <w:t>检测准确性：</w:t>
      </w:r>
      <w:r>
        <w:rPr>
          <w:rFonts w:ascii="仿宋" w:eastAsia="仿宋" w:hAnsi="仿宋" w:cs="Times New Roman Regular" w:hint="eastAsia"/>
          <w:sz w:val="24"/>
        </w:rPr>
        <w:t>整个检测过程，遵循以下质控要求保证检测结果的准确：（1）文库质控标准：文库Pooling总体积100μL，纯化后文库质量浓度≥0.5 ng/μL；（2）、测序信息：覆盖度：100%；平均读长：95-125bp；（3）、数据量控制：原始reads数≥100K，有效reads数≥40K，如数据量不足，需“重测序”；检测结果中每个位点总深度≥1000，若未达标，需“重测序”；（4）、阳性对照品和阴性对照品的检测结果应分别为高风险和低风险，否则试验结果也视为无效；（5）、由于凝血、溶血、DNA质量控制不合格等标本原因造成的检测失败率不超过5%。</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3</w:t>
      </w:r>
      <w:r>
        <w:rPr>
          <w:rFonts w:ascii="仿宋" w:eastAsia="仿宋" w:hAnsi="仿宋" w:cs="Times New Roman Regular"/>
          <w:sz w:val="24"/>
          <w:lang w:eastAsia="zh-Hans"/>
        </w:rPr>
        <w:t>、</w:t>
      </w:r>
      <w:r>
        <w:rPr>
          <w:rFonts w:ascii="仿宋" w:eastAsia="仿宋" w:hAnsi="仿宋" w:cs="Times New Roman Regular"/>
          <w:sz w:val="24"/>
        </w:rPr>
        <w:t>样本类型：孕妇外周血，5</w:t>
      </w:r>
      <w:r>
        <w:rPr>
          <w:rFonts w:ascii="仿宋" w:eastAsia="仿宋" w:hAnsi="仿宋" w:cs="Times New Roman Regular" w:hint="eastAsia"/>
          <w:sz w:val="24"/>
        </w:rPr>
        <w:t>～</w:t>
      </w:r>
      <w:r>
        <w:rPr>
          <w:rFonts w:ascii="仿宋" w:eastAsia="仿宋" w:hAnsi="仿宋" w:cs="Times New Roman Regular"/>
          <w:sz w:val="24"/>
        </w:rPr>
        <w:t>10mL</w:t>
      </w:r>
      <w:r>
        <w:rPr>
          <w:rFonts w:ascii="仿宋" w:eastAsia="仿宋" w:hAnsi="仿宋" w:cs="Times New Roman Regular" w:hint="eastAsia"/>
          <w:sz w:val="24"/>
        </w:rPr>
        <w:t>。</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4</w:t>
      </w:r>
      <w:r>
        <w:rPr>
          <w:rFonts w:ascii="仿宋" w:eastAsia="仿宋" w:hAnsi="仿宋" w:cs="Times New Roman Regular"/>
          <w:sz w:val="24"/>
          <w:lang w:eastAsia="zh-Hans"/>
        </w:rPr>
        <w:t>、</w:t>
      </w:r>
      <w:r>
        <w:rPr>
          <w:rFonts w:ascii="仿宋" w:eastAsia="仿宋" w:hAnsi="仿宋" w:cs="Times New Roman Regular" w:hint="eastAsia"/>
          <w:sz w:val="24"/>
        </w:rPr>
        <w:t>临床报告的出具发放：自采血至发放临床报告时间不超过15个工作日，其中发出因检测失败须重新采血通知的时间不超过10个工作日。</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5</w:t>
      </w:r>
      <w:r>
        <w:rPr>
          <w:rFonts w:ascii="仿宋" w:eastAsia="仿宋" w:hAnsi="仿宋" w:cs="Times New Roman Regular"/>
          <w:sz w:val="24"/>
          <w:lang w:eastAsia="zh-Hans"/>
        </w:rPr>
        <w:t>、</w:t>
      </w:r>
      <w:r>
        <w:rPr>
          <w:rFonts w:ascii="仿宋" w:eastAsia="仿宋" w:hAnsi="仿宋" w:cs="Times New Roman Regular"/>
          <w:sz w:val="24"/>
        </w:rPr>
        <w:t>质控流程：</w:t>
      </w:r>
      <w:r>
        <w:rPr>
          <w:rFonts w:ascii="仿宋" w:eastAsia="仿宋" w:hAnsi="仿宋" w:cs="Times New Roman Regular" w:hint="eastAsia"/>
          <w:sz w:val="24"/>
        </w:rPr>
        <w:t>（1）文库质控标准：文库Pooling总体积100μL，纯化后文库质量浓度≥0.5 ng/μL；（2）、测序信息：覆盖度：100%；平均读长：95-125bp；</w:t>
      </w:r>
      <w:r>
        <w:rPr>
          <w:rFonts w:ascii="仿宋" w:eastAsia="仿宋" w:hAnsi="仿宋" w:cs="Times New Roman Regular" w:hint="eastAsia"/>
          <w:sz w:val="24"/>
        </w:rPr>
        <w:lastRenderedPageBreak/>
        <w:t>（3）、数据量控制：原始reads数≥100K，有效reads数≥40K，如数据量不足，需“重测序”；检测结果中每个位点总深度≥1000，若未达标，需“重测序”；（4）、阳性对照品和阴性对照品的检测结果应分别为高风险和低风险，否则试验结果也视为无效。另外，针对存疑样本，免</w:t>
      </w:r>
      <w:r>
        <w:rPr>
          <w:rFonts w:ascii="仿宋" w:eastAsia="仿宋" w:hAnsi="仿宋" w:cs="Times New Roman Regular"/>
          <w:sz w:val="24"/>
        </w:rPr>
        <w:t>费提供复检、检测项目的假阴性、假阳性排查验证流程</w:t>
      </w:r>
      <w:r>
        <w:rPr>
          <w:rFonts w:ascii="仿宋" w:eastAsia="仿宋" w:hAnsi="仿宋" w:cs="Times New Roman Regular" w:hint="eastAsia"/>
          <w:sz w:val="24"/>
        </w:rPr>
        <w:t>。</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6</w:t>
      </w:r>
      <w:r>
        <w:rPr>
          <w:rFonts w:ascii="仿宋" w:eastAsia="仿宋" w:hAnsi="仿宋" w:cs="Times New Roman Regular"/>
          <w:sz w:val="24"/>
          <w:lang w:eastAsia="zh-Hans"/>
        </w:rPr>
        <w:t>、</w:t>
      </w:r>
      <w:r>
        <w:rPr>
          <w:rFonts w:ascii="仿宋" w:eastAsia="仿宋" w:hAnsi="仿宋" w:cs="Times New Roman Regular" w:hint="eastAsia"/>
          <w:sz w:val="24"/>
        </w:rPr>
        <w:t>具备高通量基因测序检测的拓展能力，在现有检测平台基础上，可以扩展检测</w:t>
      </w:r>
      <w:r>
        <w:rPr>
          <w:rFonts w:ascii="仿宋" w:eastAsia="仿宋" w:hAnsi="仿宋" w:cs="Times New Roman Regular"/>
          <w:sz w:val="24"/>
        </w:rPr>
        <w:t>CNV-</w:t>
      </w:r>
      <w:r>
        <w:rPr>
          <w:rFonts w:ascii="仿宋" w:eastAsia="仿宋" w:hAnsi="仿宋" w:cs="Times New Roman Regular" w:hint="eastAsia"/>
          <w:sz w:val="24"/>
        </w:rPr>
        <w:t>seq、遗传性耳聋基因检测、儿童安全用药等妇幼相关检测项目，能够据临床需要进行相关基因检测。</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hint="eastAsia"/>
          <w:sz w:val="24"/>
        </w:rPr>
        <w:t>7、驻院服务人员及物流服务方案</w:t>
      </w:r>
      <w:r>
        <w:rPr>
          <w:rFonts w:ascii="仿宋" w:eastAsia="仿宋" w:hAnsi="仿宋" w:cs="Times New Roman Regular"/>
          <w:sz w:val="24"/>
        </w:rPr>
        <w:t>：</w:t>
      </w:r>
      <w:r>
        <w:rPr>
          <w:rFonts w:ascii="仿宋" w:eastAsia="仿宋" w:hAnsi="仿宋" w:cs="Times New Roman Regular" w:hint="eastAsia"/>
          <w:sz w:val="24"/>
        </w:rPr>
        <w:t>根据项目需求，提供切实可行的驻院服务人员方案及物流服务方案。满足项目所需要的必要工作及信息的收集整理，数据上报，报告发放以及辖区建立合作的产前筛查中心该项目送检的安全和实效性。其中至少应包含两名驻院服务人员，并具备至少一年以上相关检验检测工作经验。驻院人员具体范围包括：签署保险单、检测信息录入并配合审核。</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hint="eastAsia"/>
          <w:sz w:val="24"/>
        </w:rPr>
        <w:t>8</w:t>
      </w:r>
      <w:r>
        <w:rPr>
          <w:rFonts w:ascii="仿宋" w:eastAsia="仿宋" w:hAnsi="仿宋" w:cs="Times New Roman Regular"/>
          <w:sz w:val="24"/>
          <w:lang w:eastAsia="zh-Hans"/>
        </w:rPr>
        <w:t>、</w:t>
      </w:r>
      <w:r>
        <w:rPr>
          <w:rFonts w:ascii="仿宋" w:eastAsia="仿宋" w:hAnsi="仿宋" w:cs="Times New Roman Regular"/>
          <w:sz w:val="24"/>
        </w:rPr>
        <w:t>保险</w:t>
      </w:r>
      <w:r>
        <w:rPr>
          <w:rFonts w:ascii="仿宋" w:eastAsia="仿宋" w:hAnsi="仿宋" w:cs="Times New Roman Regular" w:hint="eastAsia"/>
          <w:sz w:val="24"/>
        </w:rPr>
        <w:t>理赔</w:t>
      </w:r>
      <w:r>
        <w:rPr>
          <w:rFonts w:ascii="仿宋" w:eastAsia="仿宋" w:hAnsi="仿宋" w:cs="Times New Roman Regular"/>
          <w:sz w:val="24"/>
        </w:rPr>
        <w:t>：为所开展检测购买保险，对阳性患者的产前诊断，假阴性患者给予符合国内惯例的</w:t>
      </w:r>
      <w:r>
        <w:rPr>
          <w:rFonts w:ascii="仿宋" w:eastAsia="仿宋" w:hAnsi="仿宋" w:cs="Times New Roman Regular" w:hint="eastAsia"/>
          <w:sz w:val="24"/>
        </w:rPr>
        <w:t>根据保险条款进行</w:t>
      </w:r>
      <w:r>
        <w:rPr>
          <w:rFonts w:ascii="仿宋" w:eastAsia="仿宋" w:hAnsi="仿宋" w:cs="Times New Roman Regular"/>
          <w:sz w:val="24"/>
        </w:rPr>
        <w:t>保险理赔</w:t>
      </w:r>
      <w:r>
        <w:rPr>
          <w:rFonts w:ascii="仿宋" w:eastAsia="仿宋" w:hAnsi="仿宋" w:cs="Times New Roman Regular" w:hint="eastAsia"/>
          <w:sz w:val="24"/>
        </w:rPr>
        <w:t>。</w:t>
      </w:r>
    </w:p>
    <w:p w:rsidR="00D712EC" w:rsidRDefault="00D712EC" w:rsidP="00D712EC">
      <w:pPr>
        <w:pStyle w:val="p1"/>
        <w:widowControl/>
        <w:spacing w:line="360" w:lineRule="auto"/>
        <w:ind w:firstLineChars="200" w:firstLine="480"/>
        <w:jc w:val="both"/>
        <w:rPr>
          <w:rFonts w:ascii="仿宋" w:eastAsia="仿宋" w:hAnsi="仿宋" w:cs="Times New Roman Regular"/>
          <w:kern w:val="2"/>
          <w:sz w:val="24"/>
          <w:szCs w:val="24"/>
        </w:rPr>
      </w:pPr>
      <w:r>
        <w:rPr>
          <w:rFonts w:ascii="仿宋" w:eastAsia="仿宋" w:hAnsi="仿宋" w:cs="Times New Roman Regular" w:hint="eastAsia"/>
          <w:kern w:val="2"/>
          <w:sz w:val="24"/>
          <w:szCs w:val="24"/>
        </w:rPr>
        <w:t>9</w:t>
      </w:r>
      <w:r>
        <w:rPr>
          <w:rFonts w:ascii="仿宋" w:eastAsia="仿宋" w:hAnsi="仿宋" w:cs="Times New Roman Regular"/>
          <w:kern w:val="2"/>
          <w:sz w:val="24"/>
          <w:szCs w:val="24"/>
          <w:lang w:eastAsia="zh-Hans"/>
        </w:rPr>
        <w:t>、</w:t>
      </w:r>
      <w:r>
        <w:rPr>
          <w:rFonts w:ascii="仿宋" w:eastAsia="仿宋" w:hAnsi="仿宋" w:cs="Times New Roman Regular"/>
          <w:kern w:val="2"/>
          <w:sz w:val="24"/>
          <w:szCs w:val="24"/>
        </w:rPr>
        <w:t>样本测序</w:t>
      </w:r>
      <w:r>
        <w:rPr>
          <w:rFonts w:ascii="仿宋" w:eastAsia="仿宋" w:hAnsi="仿宋" w:cs="Times New Roman Regular"/>
          <w:kern w:val="2"/>
          <w:sz w:val="24"/>
          <w:szCs w:val="24"/>
          <w:lang w:eastAsia="zh-Hans"/>
        </w:rPr>
        <w:t>有效</w:t>
      </w:r>
      <w:r>
        <w:rPr>
          <w:rFonts w:ascii="仿宋" w:eastAsia="仿宋" w:hAnsi="仿宋" w:cs="Times New Roman Regular"/>
          <w:kern w:val="2"/>
          <w:sz w:val="24"/>
          <w:szCs w:val="24"/>
        </w:rPr>
        <w:t>数据量：</w:t>
      </w:r>
      <w:r>
        <w:rPr>
          <w:rFonts w:ascii="仿宋" w:eastAsia="仿宋" w:hAnsi="仿宋" w:cs="Times New Roman Regular"/>
          <w:kern w:val="2"/>
          <w:sz w:val="24"/>
          <w:szCs w:val="24"/>
          <w:lang w:eastAsia="zh-Hans"/>
        </w:rPr>
        <w:t>单个样本</w:t>
      </w:r>
      <w:r>
        <w:rPr>
          <w:rFonts w:ascii="仿宋" w:eastAsia="仿宋" w:hAnsi="仿宋" w:cs="Times New Roman Regular"/>
          <w:kern w:val="2"/>
          <w:sz w:val="24"/>
          <w:szCs w:val="24"/>
        </w:rPr>
        <w:t>测序有效数据量≥3M</w:t>
      </w:r>
      <w:r>
        <w:rPr>
          <w:rFonts w:ascii="仿宋" w:eastAsia="仿宋" w:hAnsi="仿宋" w:cs="Times New Roman Regular" w:hint="eastAsia"/>
          <w:kern w:val="2"/>
          <w:sz w:val="24"/>
          <w:szCs w:val="24"/>
          <w:lang w:eastAsia="zh-Hans"/>
        </w:rPr>
        <w:t>。</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hint="eastAsia"/>
          <w:sz w:val="24"/>
        </w:rPr>
        <w:t>10</w:t>
      </w:r>
      <w:r>
        <w:rPr>
          <w:rFonts w:ascii="仿宋" w:eastAsia="仿宋" w:hAnsi="仿宋" w:cs="Times New Roman Regular"/>
          <w:sz w:val="24"/>
          <w:lang w:eastAsia="zh-Hans"/>
        </w:rPr>
        <w:t>、</w:t>
      </w:r>
      <w:r>
        <w:rPr>
          <w:rFonts w:ascii="仿宋" w:eastAsia="仿宋" w:hAnsi="仿宋" w:cs="Times New Roman Regular" w:hint="eastAsia"/>
          <w:sz w:val="24"/>
        </w:rPr>
        <w:t>检验所具备相应资质：（1）具备个体化医学检测试点单位资质，可以对本单位实验室开发的个体化医学检测项目进行验证、评价和先期先行；（2）具备高通量测序技术在产前筛查与诊断的临床应用试点资质；（3）实验室具备开展临床基因扩增检验资质。</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1</w:t>
      </w:r>
      <w:r>
        <w:rPr>
          <w:rFonts w:ascii="仿宋" w:eastAsia="仿宋" w:hAnsi="仿宋" w:cs="Times New Roman Regular" w:hint="eastAsia"/>
          <w:sz w:val="24"/>
        </w:rPr>
        <w:t>1</w:t>
      </w:r>
      <w:r>
        <w:rPr>
          <w:rFonts w:ascii="仿宋" w:eastAsia="仿宋" w:hAnsi="仿宋" w:cs="Times New Roman Regular"/>
          <w:sz w:val="24"/>
          <w:lang w:eastAsia="zh-Hans"/>
        </w:rPr>
        <w:t>、</w:t>
      </w:r>
      <w:r>
        <w:rPr>
          <w:rFonts w:ascii="仿宋" w:eastAsia="仿宋" w:hAnsi="仿宋" w:cs="Times New Roman Regular"/>
          <w:sz w:val="24"/>
        </w:rPr>
        <w:t>数据平台：具有自主研发的数据分析平台，可对测序数据进行本地化分析，并实现原始下机数据、统计指标、报告的自动分析</w:t>
      </w:r>
      <w:r>
        <w:rPr>
          <w:rFonts w:ascii="仿宋" w:eastAsia="仿宋" w:hAnsi="仿宋" w:cs="Times New Roman Regular" w:hint="eastAsia"/>
          <w:sz w:val="24"/>
        </w:rPr>
        <w:t>。</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bookmarkStart w:id="2" w:name="_Hlk86931206"/>
      <w:r>
        <w:rPr>
          <w:rFonts w:ascii="仿宋" w:eastAsia="仿宋" w:hAnsi="仿宋" w:cs="Times New Roman Regular"/>
          <w:sz w:val="24"/>
        </w:rPr>
        <w:t>1</w:t>
      </w:r>
      <w:r>
        <w:rPr>
          <w:rFonts w:ascii="仿宋" w:eastAsia="仿宋" w:hAnsi="仿宋" w:cs="Times New Roman Regular" w:hint="eastAsia"/>
          <w:sz w:val="24"/>
        </w:rPr>
        <w:t>2</w:t>
      </w:r>
      <w:r>
        <w:rPr>
          <w:rFonts w:ascii="仿宋" w:eastAsia="仿宋" w:hAnsi="仿宋" w:cs="Times New Roman Regular"/>
          <w:sz w:val="24"/>
          <w:lang w:eastAsia="zh-Hans"/>
        </w:rPr>
        <w:t>、</w:t>
      </w:r>
      <w:r>
        <w:rPr>
          <w:rFonts w:ascii="仿宋" w:eastAsia="仿宋" w:hAnsi="仿宋" w:cs="Times New Roman Regular" w:hint="eastAsia"/>
          <w:sz w:val="24"/>
        </w:rPr>
        <w:t>检测后服务</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1</w:t>
      </w:r>
      <w:r>
        <w:rPr>
          <w:rFonts w:ascii="仿宋" w:eastAsia="仿宋" w:hAnsi="仿宋" w:cs="Times New Roman Regular" w:hint="eastAsia"/>
          <w:sz w:val="24"/>
        </w:rPr>
        <w:t>2</w:t>
      </w:r>
      <w:r>
        <w:rPr>
          <w:rFonts w:ascii="仿宋" w:eastAsia="仿宋" w:hAnsi="仿宋" w:cs="Times New Roman Regular"/>
          <w:sz w:val="24"/>
        </w:rPr>
        <w:t>.1扩展性检测服务：对于临床疑难病例或筛查阳性病例，可提供专业的遗传咨询服务及后续相关的</w:t>
      </w:r>
      <w:r>
        <w:rPr>
          <w:rFonts w:ascii="仿宋" w:eastAsia="仿宋" w:hAnsi="仿宋" w:cs="Times New Roman Regular" w:hint="eastAsia"/>
          <w:sz w:val="24"/>
        </w:rPr>
        <w:t>产前全外显子分析、</w:t>
      </w:r>
      <w:r>
        <w:rPr>
          <w:rFonts w:ascii="仿宋" w:eastAsia="仿宋" w:hAnsi="仿宋" w:cs="Times New Roman Regular"/>
          <w:sz w:val="24"/>
        </w:rPr>
        <w:t>染色体核型分析、染色体微阵列分析（CMA）和低深度全基因组测序（CNV-seq）检测服务。</w:t>
      </w:r>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sz w:val="24"/>
        </w:rPr>
        <w:t>1</w:t>
      </w:r>
      <w:r>
        <w:rPr>
          <w:rFonts w:ascii="仿宋" w:eastAsia="仿宋" w:hAnsi="仿宋" w:cs="Times New Roman Regular" w:hint="eastAsia"/>
          <w:sz w:val="24"/>
        </w:rPr>
        <w:t>2</w:t>
      </w:r>
      <w:r>
        <w:rPr>
          <w:rFonts w:ascii="仿宋" w:eastAsia="仿宋" w:hAnsi="仿宋" w:cs="Times New Roman Regular"/>
          <w:sz w:val="24"/>
        </w:rPr>
        <w:t xml:space="preserve">.2 </w:t>
      </w:r>
      <w:r>
        <w:rPr>
          <w:rFonts w:ascii="仿宋" w:eastAsia="仿宋" w:hAnsi="仿宋" w:cs="Times New Roman Regular" w:hint="eastAsia"/>
          <w:sz w:val="24"/>
        </w:rPr>
        <w:t>科研技术合作服务</w:t>
      </w:r>
      <w:r>
        <w:rPr>
          <w:rFonts w:ascii="仿宋" w:eastAsia="仿宋" w:hAnsi="仿宋" w:cs="Times New Roman Regular"/>
          <w:sz w:val="24"/>
        </w:rPr>
        <w:t>：</w:t>
      </w:r>
      <w:r>
        <w:rPr>
          <w:rFonts w:ascii="仿宋" w:eastAsia="仿宋" w:hAnsi="仿宋" w:cs="Times New Roman Regular" w:hint="eastAsia"/>
          <w:sz w:val="24"/>
        </w:rPr>
        <w:t>通过样本数据及数据库共享，以及科研团队支持。共同进行科研项目的立项和文章发表。</w:t>
      </w:r>
      <w:bookmarkEnd w:id="2"/>
    </w:p>
    <w:p w:rsidR="00D712EC" w:rsidRDefault="00D712EC" w:rsidP="00D712EC">
      <w:p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hint="eastAsia"/>
          <w:sz w:val="24"/>
        </w:rPr>
        <w:t>1</w:t>
      </w:r>
      <w:r>
        <w:rPr>
          <w:rFonts w:ascii="仿宋" w:eastAsia="仿宋" w:hAnsi="仿宋" w:cs="Times New Roman Regular"/>
          <w:sz w:val="24"/>
        </w:rPr>
        <w:t>3</w:t>
      </w:r>
      <w:r>
        <w:rPr>
          <w:rFonts w:ascii="仿宋" w:eastAsia="仿宋" w:hAnsi="仿宋" w:cs="Times New Roman Regular" w:hint="eastAsia"/>
          <w:sz w:val="24"/>
        </w:rPr>
        <w:t>、供应商所使用的检测设备、试剂和数据分析软件等均应符合《医疗器械</w:t>
      </w:r>
      <w:r>
        <w:rPr>
          <w:rFonts w:ascii="仿宋" w:eastAsia="仿宋" w:hAnsi="仿宋" w:cs="Times New Roman Regular" w:hint="eastAsia"/>
          <w:sz w:val="24"/>
        </w:rPr>
        <w:lastRenderedPageBreak/>
        <w:t>监督管理条例》和《医疗器械注册管理办法》等相关规定，并经过食品药品监督管理部门批准注册。</w:t>
      </w:r>
    </w:p>
    <w:p w:rsidR="00D712EC" w:rsidRDefault="00D712EC" w:rsidP="00D712EC">
      <w:pPr>
        <w:numPr>
          <w:ilvl w:val="0"/>
          <w:numId w:val="2"/>
        </w:numPr>
        <w:tabs>
          <w:tab w:val="left" w:pos="0"/>
        </w:tabs>
        <w:adjustRightInd w:val="0"/>
        <w:spacing w:line="360" w:lineRule="auto"/>
        <w:ind w:firstLineChars="200" w:firstLine="480"/>
        <w:textAlignment w:val="baseline"/>
        <w:rPr>
          <w:rFonts w:ascii="仿宋" w:eastAsia="仿宋" w:hAnsi="仿宋" w:cs="Times New Roman Regular"/>
          <w:sz w:val="24"/>
        </w:rPr>
      </w:pPr>
      <w:r>
        <w:rPr>
          <w:rFonts w:ascii="仿宋" w:eastAsia="仿宋" w:hAnsi="仿宋" w:cs="Times New Roman Regular" w:hint="eastAsia"/>
          <w:sz w:val="24"/>
        </w:rPr>
        <w:t>能够提供物流转运、数据分析、结果解读等系列服务。</w:t>
      </w:r>
    </w:p>
    <w:p w:rsidR="00D712EC" w:rsidRDefault="00D712EC" w:rsidP="00D712EC">
      <w:pPr>
        <w:tabs>
          <w:tab w:val="left" w:pos="0"/>
        </w:tabs>
        <w:adjustRightInd w:val="0"/>
        <w:spacing w:line="360" w:lineRule="auto"/>
        <w:ind w:left="420"/>
        <w:textAlignment w:val="baseline"/>
        <w:rPr>
          <w:rFonts w:ascii="仿宋" w:eastAsia="仿宋" w:hAnsi="仿宋" w:cs="Times New Roman Regular"/>
          <w:sz w:val="24"/>
        </w:rPr>
      </w:pPr>
    </w:p>
    <w:p w:rsidR="00D712EC" w:rsidRDefault="00D712EC" w:rsidP="00D712EC">
      <w:pPr>
        <w:tabs>
          <w:tab w:val="left" w:pos="0"/>
        </w:tabs>
        <w:adjustRightInd w:val="0"/>
        <w:spacing w:line="360" w:lineRule="auto"/>
        <w:ind w:firstLineChars="200" w:firstLine="489"/>
        <w:textAlignment w:val="baseline"/>
        <w:rPr>
          <w:rFonts w:ascii="仿宋" w:eastAsia="仿宋" w:hAnsi="仿宋" w:cs="Times New Roman Regular"/>
          <w:sz w:val="24"/>
        </w:rPr>
      </w:pPr>
      <w:r>
        <w:rPr>
          <w:rFonts w:ascii="仿宋" w:eastAsia="仿宋" w:hAnsi="仿宋" w:cs="Times New Roman Regular"/>
          <w:b/>
          <w:sz w:val="24"/>
        </w:rPr>
        <w:t>(三)工作安排要求</w:t>
      </w:r>
    </w:p>
    <w:p w:rsidR="00D712EC" w:rsidRDefault="00D712EC" w:rsidP="00D712EC">
      <w:pPr>
        <w:numPr>
          <w:ilvl w:val="0"/>
          <w:numId w:val="3"/>
        </w:num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cs="Times New Roman Regular" w:hint="eastAsia"/>
          <w:sz w:val="24"/>
        </w:rPr>
        <w:t>供应商应</w:t>
      </w:r>
      <w:r>
        <w:rPr>
          <w:rFonts w:ascii="仿宋" w:eastAsia="仿宋" w:hAnsi="仿宋" w:hint="eastAsia"/>
          <w:sz w:val="24"/>
        </w:rPr>
        <w:t>指定物流人员到医院指定地点取血样，保证在收到采购人合格的送检标本后在合同约定时间内完成标本检测，并向采购人出具有效的书面检测报告。采购人采集的标本不合格或者检测失败，供应商需在收到采购人的送检标本后10个工作日内向采购人发出再次采样的通知。</w:t>
      </w:r>
    </w:p>
    <w:p w:rsidR="00D712EC" w:rsidRDefault="00D712EC" w:rsidP="00D712EC">
      <w:pPr>
        <w:numPr>
          <w:ilvl w:val="0"/>
          <w:numId w:val="3"/>
        </w:num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实验结束后，供应商需对剩余血浆样本以及相关的血样标本进行规范保存，并与采购人共享标本，保存时限为3年，供应商不得基于其他商业目的使用、转让该标本。</w:t>
      </w:r>
    </w:p>
    <w:p w:rsidR="00D712EC" w:rsidRDefault="00D712EC" w:rsidP="00D712EC">
      <w:pPr>
        <w:numPr>
          <w:ilvl w:val="0"/>
          <w:numId w:val="3"/>
        </w:num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供应商应配合采购人工作，提供相关文件供其检查、核对。</w:t>
      </w:r>
    </w:p>
    <w:p w:rsidR="00D712EC" w:rsidRDefault="00D712EC" w:rsidP="00D712EC">
      <w:pPr>
        <w:numPr>
          <w:ilvl w:val="0"/>
          <w:numId w:val="3"/>
        </w:num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应采购人要求时，供应商应对检测结果提供咨询和解释服务。</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p>
    <w:p w:rsidR="00D712EC" w:rsidRDefault="00D712EC" w:rsidP="00D712EC">
      <w:pPr>
        <w:tabs>
          <w:tab w:val="left" w:pos="0"/>
        </w:tabs>
        <w:adjustRightInd w:val="0"/>
        <w:spacing w:line="360" w:lineRule="auto"/>
        <w:ind w:firstLineChars="200" w:firstLine="489"/>
        <w:textAlignment w:val="baseline"/>
        <w:rPr>
          <w:rFonts w:ascii="仿宋" w:eastAsia="仿宋" w:hAnsi="仿宋"/>
          <w:b/>
          <w:bCs/>
          <w:sz w:val="24"/>
        </w:rPr>
      </w:pPr>
      <w:r>
        <w:rPr>
          <w:rFonts w:ascii="仿宋" w:eastAsia="仿宋" w:hAnsi="仿宋" w:hint="eastAsia"/>
          <w:b/>
          <w:bCs/>
          <w:sz w:val="24"/>
        </w:rPr>
        <w:t>（四）服务期要求</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本项目服务期 2 年 。（合同每年签订一次，在不改变合同其它条款的情况下可以续签，续签次数不得超过一次，在签订第二年合同前，采购人将对成交人在上一年度服务满前两个月内进行服务期内总体考核，考核合格续签合同，否则不再续签合同）。</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p>
    <w:p w:rsidR="00D712EC" w:rsidRDefault="00D712EC" w:rsidP="00D712EC">
      <w:pPr>
        <w:tabs>
          <w:tab w:val="left" w:pos="0"/>
        </w:tabs>
        <w:adjustRightInd w:val="0"/>
        <w:spacing w:line="360" w:lineRule="auto"/>
        <w:ind w:firstLineChars="200" w:firstLine="489"/>
        <w:textAlignment w:val="baseline"/>
        <w:rPr>
          <w:rFonts w:ascii="仿宋" w:eastAsia="仿宋" w:hAnsi="仿宋"/>
          <w:b/>
          <w:bCs/>
          <w:sz w:val="24"/>
        </w:rPr>
      </w:pPr>
      <w:r>
        <w:rPr>
          <w:rFonts w:ascii="仿宋" w:eastAsia="仿宋" w:hAnsi="仿宋" w:hint="eastAsia"/>
          <w:b/>
          <w:bCs/>
          <w:sz w:val="24"/>
        </w:rPr>
        <w:t>（五）付款方式</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 xml:space="preserve">检测服务费按季度结算，采购人在下一季度10个工作日前将上一季度成交供应商已经完成检测并向采购人出具合格有效的检测报告，且采购人未对该检测结果提出异议的标本检测服务费全额汇至成交供应商指定账户。   </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p>
    <w:p w:rsidR="00D712EC" w:rsidRDefault="00D712EC" w:rsidP="00D712EC">
      <w:pPr>
        <w:tabs>
          <w:tab w:val="left" w:pos="0"/>
        </w:tabs>
        <w:adjustRightInd w:val="0"/>
        <w:spacing w:line="360" w:lineRule="auto"/>
        <w:ind w:firstLineChars="200" w:firstLine="489"/>
        <w:textAlignment w:val="baseline"/>
        <w:rPr>
          <w:rFonts w:ascii="仿宋" w:eastAsia="仿宋" w:hAnsi="仿宋"/>
          <w:b/>
          <w:bCs/>
          <w:sz w:val="24"/>
        </w:rPr>
      </w:pPr>
      <w:r>
        <w:rPr>
          <w:rFonts w:ascii="仿宋" w:eastAsia="仿宋" w:hAnsi="仿宋" w:hint="eastAsia"/>
          <w:b/>
          <w:bCs/>
          <w:sz w:val="24"/>
        </w:rPr>
        <w:t>（六）验收考核标准</w:t>
      </w:r>
    </w:p>
    <w:p w:rsidR="00D712EC" w:rsidRDefault="00D712EC" w:rsidP="00D712EC">
      <w:pPr>
        <w:tabs>
          <w:tab w:val="left" w:pos="0"/>
        </w:tabs>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采购人将在年度服务期满前两个月内按照比选文件要求和附件1的内容对供应商进行服务质量评价。评价“合格”即为验收合格。</w:t>
      </w:r>
    </w:p>
    <w:p w:rsidR="00D712EC" w:rsidRDefault="00D712EC" w:rsidP="00D712EC">
      <w:r>
        <w:br w:type="page"/>
      </w:r>
      <w:r>
        <w:rPr>
          <w:rFonts w:ascii="宋体" w:hAnsi="宋体" w:hint="eastAsia"/>
          <w:szCs w:val="21"/>
        </w:rPr>
        <w:lastRenderedPageBreak/>
        <w:t>附件1：</w:t>
      </w:r>
    </w:p>
    <w:tbl>
      <w:tblPr>
        <w:tblW w:w="8700" w:type="dxa"/>
        <w:tblInd w:w="93" w:type="dxa"/>
        <w:tblLayout w:type="fixed"/>
        <w:tblLook w:val="0000" w:firstRow="0" w:lastRow="0" w:firstColumn="0" w:lastColumn="0" w:noHBand="0" w:noVBand="0"/>
      </w:tblPr>
      <w:tblGrid>
        <w:gridCol w:w="811"/>
        <w:gridCol w:w="585"/>
        <w:gridCol w:w="5537"/>
        <w:gridCol w:w="588"/>
        <w:gridCol w:w="588"/>
        <w:gridCol w:w="591"/>
      </w:tblGrid>
      <w:tr w:rsidR="00D712EC" w:rsidTr="008B627C">
        <w:trPr>
          <w:trHeight w:val="616"/>
        </w:trPr>
        <w:tc>
          <w:tcPr>
            <w:tcW w:w="8700" w:type="dxa"/>
            <w:gridSpan w:val="6"/>
            <w:tcBorders>
              <w:top w:val="nil"/>
              <w:left w:val="nil"/>
              <w:bottom w:val="nil"/>
              <w:right w:val="nil"/>
            </w:tcBorders>
            <w:shd w:val="clear" w:color="auto" w:fill="FFFFFF"/>
            <w:noWrap/>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宋体" w:hAnsi="宋体"/>
                <w:sz w:val="24"/>
              </w:rPr>
              <w:br w:type="page"/>
            </w:r>
            <w:r>
              <w:rPr>
                <w:rFonts w:ascii="DengXian" w:eastAsia="DengXian" w:hAnsi="DengXian" w:cs="微软雅黑" w:hint="eastAsia"/>
                <w:b/>
                <w:bCs/>
                <w:color w:val="000000"/>
                <w:kern w:val="0"/>
                <w:sz w:val="32"/>
                <w:szCs w:val="32"/>
                <w:lang w:bidi="ar"/>
              </w:rPr>
              <w:t>外送检测机构年度评估表</w:t>
            </w:r>
          </w:p>
        </w:tc>
      </w:tr>
      <w:tr w:rsidR="00D712EC" w:rsidTr="008B627C">
        <w:trPr>
          <w:trHeight w:val="560"/>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外送检测机构名称：</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年  月  日</w:t>
            </w:r>
          </w:p>
        </w:tc>
      </w:tr>
      <w:tr w:rsidR="00D712EC" w:rsidTr="008B627C">
        <w:trPr>
          <w:trHeight w:val="4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w:t>
            </w:r>
            <w:r>
              <w:rPr>
                <w:rFonts w:ascii="DengXian" w:eastAsia="DengXian" w:hAnsi="DengXian" w:cs="微软雅黑" w:hint="eastAsia"/>
                <w:b/>
                <w:bCs/>
                <w:color w:val="000000"/>
                <w:kern w:val="0"/>
                <w:sz w:val="24"/>
                <w:lang w:bidi="ar"/>
              </w:rPr>
              <w:br/>
              <w:t>项目</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序号</w:t>
            </w:r>
          </w:p>
        </w:tc>
        <w:tc>
          <w:tcPr>
            <w:tcW w:w="553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评估内容及细则</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评  价    </w:t>
            </w:r>
          </w:p>
        </w:tc>
      </w:tr>
      <w:tr w:rsidR="00D712EC" w:rsidTr="008B627C">
        <w:trPr>
          <w:trHeight w:val="543"/>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53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优</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良</w:t>
            </w:r>
          </w:p>
        </w:tc>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差</w:t>
            </w:r>
          </w:p>
        </w:tc>
      </w:tr>
      <w:tr w:rsidR="00D712EC" w:rsidTr="008B627C">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(一)综合能力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检测机构各项资质在有效期内</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应急反应预案及应对实施能力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遵守医院规章制度及防疫要求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管理人员资质与合作</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(二)</w:t>
            </w:r>
            <w:r>
              <w:rPr>
                <w:rFonts w:ascii="DengXian" w:eastAsia="DengXian" w:hAnsi="DengXian" w:cs="微软雅黑"/>
                <w:b/>
                <w:bCs/>
                <w:color w:val="000000"/>
                <w:kern w:val="0"/>
                <w:sz w:val="24"/>
                <w:lang w:bidi="ar"/>
              </w:rPr>
              <w:t>服务实施与质量控制</w:t>
            </w:r>
            <w:r>
              <w:rPr>
                <w:rFonts w:ascii="DengXian" w:eastAsia="DengXian" w:hAnsi="DengXian" w:cs="微软雅黑" w:hint="eastAsia"/>
                <w:b/>
                <w:bCs/>
                <w:color w:val="000000"/>
                <w:kern w:val="0"/>
                <w:sz w:val="24"/>
                <w:lang w:bidi="ar"/>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人员配备满足项目需求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服务人员积极配合服从管理</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检测报告时限按照合同要求出具</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检测报告无差错</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检测结果异常反馈及时</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6</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血样交接准确无误差</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717"/>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7</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血样转运及时没有延误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(三)检测后服务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样本保存合规</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遵守保密原则，不泄露患者信息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存疑样本复检</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保险赔付落实</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472"/>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拓展检测能力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12EC" w:rsidRDefault="00D712EC" w:rsidP="008B627C">
            <w:pPr>
              <w:jc w:val="center"/>
              <w:rPr>
                <w:rFonts w:ascii="DengXian" w:eastAsia="DengXian" w:hAnsi="DengXian" w:cs="微软雅黑"/>
                <w:b/>
                <w:bCs/>
                <w:color w:val="000000"/>
                <w:sz w:val="24"/>
              </w:rPr>
            </w:pPr>
          </w:p>
        </w:tc>
      </w:tr>
      <w:tr w:rsidR="00D712EC" w:rsidTr="008B627C">
        <w:trPr>
          <w:trHeight w:val="616"/>
        </w:trPr>
        <w:tc>
          <w:tcPr>
            <w:tcW w:w="87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712EC" w:rsidRDefault="00D712EC" w:rsidP="008B627C">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考核结果三项及以上为“差”者不通过</w:t>
            </w:r>
          </w:p>
        </w:tc>
      </w:tr>
    </w:tbl>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Regular">
    <w:panose1 w:val="020B0604020202020204"/>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7D3D8"/>
    <w:multiLevelType w:val="singleLevel"/>
    <w:tmpl w:val="E457D3D8"/>
    <w:lvl w:ilvl="0">
      <w:start w:val="3"/>
      <w:numFmt w:val="decimal"/>
      <w:suff w:val="nothing"/>
      <w:lvlText w:val="%1、"/>
      <w:lvlJc w:val="left"/>
    </w:lvl>
  </w:abstractNum>
  <w:abstractNum w:abstractNumId="1" w15:restartNumberingAfterBreak="0">
    <w:nsid w:val="5DEE0AA0"/>
    <w:multiLevelType w:val="singleLevel"/>
    <w:tmpl w:val="5DEE0AA0"/>
    <w:lvl w:ilvl="0">
      <w:start w:val="1"/>
      <w:numFmt w:val="decimal"/>
      <w:suff w:val="nothing"/>
      <w:lvlText w:val="%1、"/>
      <w:lvlJc w:val="left"/>
    </w:lvl>
  </w:abstractNum>
  <w:abstractNum w:abstractNumId="2" w15:restartNumberingAfterBreak="0">
    <w:nsid w:val="7535F316"/>
    <w:multiLevelType w:val="singleLevel"/>
    <w:tmpl w:val="7535F316"/>
    <w:lvl w:ilvl="0">
      <w:start w:val="14"/>
      <w:numFmt w:val="decimal"/>
      <w:suff w:val="nothing"/>
      <w:lvlText w:val="%1、"/>
      <w:lvlJc w:val="left"/>
    </w:lvl>
  </w:abstractNum>
  <w:num w:numId="1" w16cid:durableId="1208371780">
    <w:abstractNumId w:val="0"/>
  </w:num>
  <w:num w:numId="2" w16cid:durableId="1365979928">
    <w:abstractNumId w:val="2"/>
  </w:num>
  <w:num w:numId="3" w16cid:durableId="130011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EC"/>
    <w:rsid w:val="00171321"/>
    <w:rsid w:val="00817A75"/>
    <w:rsid w:val="00AE199F"/>
    <w:rsid w:val="00CA32DA"/>
    <w:rsid w:val="00D7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692E82"/>
  <w15:chartTrackingRefBased/>
  <w15:docId w15:val="{1AC55550-BEE8-9A48-A427-EB0C78F1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2EC"/>
    <w:pPr>
      <w:widowControl w:val="0"/>
      <w:jc w:val="both"/>
    </w:pPr>
    <w:rPr>
      <w:rFonts w:ascii="Times New Roman" w:eastAsia="宋体" w:hAnsi="Times New Roman" w:cs="Times New Roman"/>
    </w:rPr>
  </w:style>
  <w:style w:type="paragraph" w:styleId="1">
    <w:name w:val="heading 1"/>
    <w:basedOn w:val="a"/>
    <w:next w:val="a"/>
    <w:link w:val="12"/>
    <w:qFormat/>
    <w:rsid w:val="00D712EC"/>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D712EC"/>
    <w:rPr>
      <w:rFonts w:ascii="Times New Roman" w:eastAsia="宋体" w:hAnsi="Times New Roman" w:cs="Times New Roman"/>
      <w:b/>
      <w:bCs/>
      <w:kern w:val="44"/>
      <w:sz w:val="44"/>
      <w:szCs w:val="44"/>
    </w:rPr>
  </w:style>
  <w:style w:type="character" w:customStyle="1" w:styleId="12">
    <w:name w:val="标题 1 字符2"/>
    <w:link w:val="1"/>
    <w:rsid w:val="00D712EC"/>
    <w:rPr>
      <w:rFonts w:ascii="宋体" w:eastAsia="宋体" w:hAnsi="Times New Roman" w:cs="Times New Roman"/>
      <w:b/>
      <w:kern w:val="44"/>
      <w:sz w:val="32"/>
      <w:szCs w:val="20"/>
    </w:rPr>
  </w:style>
  <w:style w:type="paragraph" w:styleId="a3">
    <w:name w:val="annotation text"/>
    <w:basedOn w:val="a"/>
    <w:link w:val="11"/>
    <w:uiPriority w:val="99"/>
    <w:qFormat/>
    <w:rsid w:val="00D712EC"/>
    <w:pPr>
      <w:jc w:val="left"/>
    </w:pPr>
  </w:style>
  <w:style w:type="character" w:customStyle="1" w:styleId="a4">
    <w:name w:val="批注文字 字符"/>
    <w:basedOn w:val="a0"/>
    <w:uiPriority w:val="99"/>
    <w:semiHidden/>
    <w:rsid w:val="00D712EC"/>
    <w:rPr>
      <w:rFonts w:ascii="Times New Roman" w:eastAsia="宋体" w:hAnsi="Times New Roman" w:cs="Times New Roman"/>
    </w:rPr>
  </w:style>
  <w:style w:type="character" w:customStyle="1" w:styleId="11">
    <w:name w:val="批注文字 字符1"/>
    <w:link w:val="a3"/>
    <w:uiPriority w:val="99"/>
    <w:rsid w:val="00D712EC"/>
    <w:rPr>
      <w:rFonts w:ascii="Times New Roman" w:eastAsia="宋体" w:hAnsi="Times New Roman" w:cs="Times New Roman"/>
    </w:rPr>
  </w:style>
  <w:style w:type="paragraph" w:customStyle="1" w:styleId="p1">
    <w:name w:val="p1"/>
    <w:basedOn w:val="a"/>
    <w:qFormat/>
    <w:rsid w:val="00D712EC"/>
    <w:pPr>
      <w:jc w:val="left"/>
    </w:pPr>
    <w:rPr>
      <w:rFonts w:ascii="Helvetica" w:eastAsia="Helvetica" w:hAnsi="Helvetica"/>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2024-01-03T08:17:00Z</dcterms:created>
  <dcterms:modified xsi:type="dcterms:W3CDTF">2024-01-03T08:17:00Z</dcterms:modified>
</cp:coreProperties>
</file>